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632BD0" w:rsidRPr="003B5656" w:rsidRDefault="00632BD0" w:rsidP="00632BD0">
      <w:pPr>
        <w:ind w:firstLine="360"/>
        <w:rPr>
          <w:b/>
          <w:sz w:val="20"/>
          <w:szCs w:val="20"/>
        </w:rPr>
      </w:pPr>
      <w:r w:rsidRPr="003B5656">
        <w:rPr>
          <w:b/>
          <w:bCs/>
          <w:sz w:val="20"/>
          <w:szCs w:val="20"/>
        </w:rPr>
        <w:t xml:space="preserve">Wykonanie nawierzchni asfaltowych dróg i placów” (droga gminna Dąbrówka Wisłocka – Zapłocie na długości 720 m; droga gminna Ruda-Zastawie na długości 465 m; droga gminna ul. Graniczna w Radomyślu Wielkim na długości 160 m; droga gminna Partynia za kanałem w kier. P. Wrzesień na długości 400 m; droga gminna w kier. stadionu w miejsc. Zgórsko na długości 130 m wraz z parkingiem; droga dojazdowa do posesji w Radomyślu Wielkim w kier. na P. Mydlarz i Cisło na długości 205 m)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sz w:val="20"/>
          <w:szCs w:val="20"/>
        </w:rPr>
        <w:t xml:space="preserve"> </w:t>
      </w:r>
      <w:r w:rsidRPr="003B5656">
        <w:rPr>
          <w:b/>
          <w:bCs/>
          <w:sz w:val="20"/>
          <w:szCs w:val="20"/>
        </w:rPr>
        <w:t xml:space="preserve">   </w:t>
      </w:r>
      <w:r w:rsidRPr="003B565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sz w:val="20"/>
          <w:szCs w:val="20"/>
        </w:rPr>
        <w:t xml:space="preserve"> </w:t>
      </w:r>
      <w:r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sz w:val="20"/>
          <w:szCs w:val="20"/>
        </w:rPr>
        <w:t xml:space="preserve"> </w:t>
      </w:r>
      <w:r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sz w:val="20"/>
          <w:szCs w:val="20"/>
        </w:rPr>
        <w:t xml:space="preserve"> </w:t>
      </w:r>
      <w:r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B5656">
        <w:rPr>
          <w:b/>
          <w:sz w:val="20"/>
          <w:szCs w:val="20"/>
        </w:rPr>
        <w:t xml:space="preserve"> </w:t>
      </w:r>
      <w:r w:rsidRPr="003B5656">
        <w:rPr>
          <w:b/>
          <w:bCs/>
          <w:sz w:val="20"/>
          <w:szCs w:val="20"/>
        </w:rPr>
        <w:t xml:space="preserve">                       </w:t>
      </w:r>
      <w:r w:rsidRPr="003B5656">
        <w:rPr>
          <w:sz w:val="20"/>
          <w:szCs w:val="20"/>
        </w:rPr>
        <w:t xml:space="preserve">                                                             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4 cm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wiążącej o grubości 4 cm i 5 cm  z betonu asfaltowego „AC11W”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lastRenderedPageBreak/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4431F7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4431F7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4431F7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4431F7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10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4431F7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4431F7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4431F7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4431F7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4431F7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4431F7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Procentowa zawartość ziaren o powierzchni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przekruszonej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 xml:space="preserve">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4431F7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4431F7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4431F7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4431F7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4431F7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Procentowa zawartość ziaren o powierzchni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przekruszonej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 xml:space="preserve">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4431F7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4431F7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Mrozoodporność wg PN-EN 1367-1, załącznik B, w 1%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NaCl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>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4431F7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4431F7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4431F7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4431F7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4431F7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8" w:name="_Toc405274766"/>
      <w:r>
        <w:t>3.1. Ogólne wymagania dotyczące sprzętu</w:t>
      </w:r>
      <w:bookmarkEnd w:id="1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19" w:name="_Toc405274767"/>
      <w:r>
        <w:t>3.2. Sprzęt do wykonania nawierzchni z betonu asfaltowego</w:t>
      </w:r>
      <w:bookmarkEnd w:id="19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0" w:name="_Toc405274768"/>
      <w:bookmarkStart w:id="21" w:name="_Toc498489823"/>
      <w:r>
        <w:t>4. TRANSPORT</w:t>
      </w:r>
      <w:bookmarkEnd w:id="20"/>
      <w:bookmarkEnd w:id="21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2" w:name="_Toc405274769"/>
      <w:r>
        <w:t>4.1. Ogólne wymagania dotyczące transportu</w:t>
      </w:r>
      <w:bookmarkEnd w:id="22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70"/>
      <w:r>
        <w:t>4.2. Transport materiałów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4" w:name="_Toc405274771"/>
      <w:bookmarkStart w:id="25" w:name="_Toc498489824"/>
      <w:r w:rsidRPr="003D3E12">
        <w:t>5. WYKONANIE ROBÓT</w:t>
      </w:r>
      <w:bookmarkEnd w:id="24"/>
      <w:bookmarkEnd w:id="25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6" w:name="_Toc405274781"/>
      <w:bookmarkStart w:id="27" w:name="_Toc498489825"/>
      <w:bookmarkStart w:id="28" w:name="_Toc405274772"/>
      <w:r w:rsidRPr="00A41C4C">
        <w:t>5.1. Ogólne zasady wykonania robót</w:t>
      </w:r>
      <w:bookmarkEnd w:id="2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29" w:name="_Toc405274773"/>
      <w:r w:rsidRPr="00A41C4C">
        <w:t>5.2. Projektowanie mieszanki mineralno-asfaltowej</w:t>
      </w:r>
      <w:bookmarkEnd w:id="29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5.2.1. </w:t>
      </w:r>
      <w:r w:rsidRPr="00A41C4C">
        <w:rPr>
          <w:rFonts w:ascii="Times New Roman" w:hAnsi="Times New Roman"/>
          <w:sz w:val="20"/>
        </w:rPr>
        <w:t>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4431F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4431F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4431F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4431F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4431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443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4431F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4431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4431F7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4431F7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4431F7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4431F7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4431F7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4431F7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4431F7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4431F7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4431F7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4431F7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8D5594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>5.2.2.</w:t>
      </w:r>
      <w:r w:rsidRPr="00A41C4C">
        <w:rPr>
          <w:rFonts w:ascii="Times New Roman" w:hAnsi="Times New Roman"/>
          <w:sz w:val="20"/>
        </w:rPr>
        <w:t xml:space="preserve"> </w:t>
      </w:r>
      <w:r w:rsidRPr="00D5501C">
        <w:rPr>
          <w:rFonts w:ascii="Times New Roman" w:hAnsi="Times New Roman"/>
          <w:b/>
          <w:sz w:val="20"/>
        </w:rPr>
        <w:t>Warstwa wiążąca,</w:t>
      </w:r>
      <w:r w:rsidRPr="00A41C4C">
        <w:rPr>
          <w:rFonts w:ascii="Times New Roman" w:hAnsi="Times New Roman"/>
          <w:sz w:val="20"/>
        </w:rPr>
        <w:t xml:space="preserve"> wyrównawcza i wzmacniająca </w:t>
      </w:r>
      <w:r w:rsidRPr="00351CB2">
        <w:rPr>
          <w:rFonts w:ascii="Times New Roman" w:hAnsi="Times New Roman"/>
          <w:b/>
          <w:sz w:val="20"/>
        </w:rPr>
        <w:t>z betonu</w:t>
      </w:r>
      <w:r w:rsidRPr="00A41C4C">
        <w:rPr>
          <w:rFonts w:ascii="Times New Roman" w:hAnsi="Times New Roman"/>
          <w:sz w:val="20"/>
        </w:rPr>
        <w:t xml:space="preserve"> </w:t>
      </w:r>
      <w:r w:rsidRPr="008D5594">
        <w:rPr>
          <w:rFonts w:ascii="Times New Roman" w:hAnsi="Times New Roman"/>
          <w:b/>
          <w:sz w:val="20"/>
        </w:rPr>
        <w:t>asfaltowego</w:t>
      </w:r>
      <w:r>
        <w:rPr>
          <w:rFonts w:ascii="Times New Roman" w:hAnsi="Times New Roman"/>
          <w:b/>
          <w:sz w:val="20"/>
        </w:rPr>
        <w:t xml:space="preserve"> AC11W(</w:t>
      </w:r>
      <w:r w:rsidRPr="008D5594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nie </w:t>
      </w:r>
      <w:r w:rsidRPr="008D5594">
        <w:rPr>
          <w:rFonts w:ascii="Times New Roman" w:hAnsi="Times New Roman"/>
          <w:b/>
          <w:sz w:val="20"/>
        </w:rPr>
        <w:t>dotyczy)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4431F7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4431F7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4431F7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4431F7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C82978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 xml:space="preserve">od 0  </w:t>
            </w: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4431F7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100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85÷100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70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100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62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84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55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76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45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65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35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55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(45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65)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25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45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18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38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35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11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28</w:t>
            </w:r>
          </w:p>
          <w:p w:rsidR="00632BD0" w:rsidRPr="00C82978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9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25</w:t>
            </w:r>
          </w:p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3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4431F7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4431F7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C82978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4,5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4431F7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Pr="0008467A">
        <w:rPr>
          <w:rFonts w:ascii="Times New Roman" w:hAnsi="Times New Roman"/>
          <w:b/>
          <w:sz w:val="20"/>
        </w:rPr>
        <w:t>AC11W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Wymagania wobec MMA, warstwy wiążącej, wyrównawczej                       i wzmacniającej w zależności od  </w:t>
            </w:r>
            <w:r w:rsidRPr="00A41C4C">
              <w:rPr>
                <w:rFonts w:ascii="Times New Roman" w:hAnsi="Times New Roman"/>
                <w:sz w:val="20"/>
              </w:rPr>
              <w:lastRenderedPageBreak/>
              <w:t>kategorii ruchu</w:t>
            </w:r>
          </w:p>
        </w:tc>
      </w:tr>
      <w:tr w:rsidR="00632BD0" w:rsidRPr="00A41C4C" w:rsidTr="004431F7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08467A" w:rsidRDefault="00632BD0" w:rsidP="004431F7">
            <w:pPr>
              <w:pStyle w:val="StylIwony"/>
              <w:spacing w:before="0" w:after="0"/>
              <w:ind w:left="780"/>
              <w:rPr>
                <w:rFonts w:ascii="Times New Roman" w:hAnsi="Times New Roman"/>
                <w:b/>
                <w:sz w:val="20"/>
                <w:u w:val="single"/>
              </w:rPr>
            </w:pP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4431F7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4431F7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4431F7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08467A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4431F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4431F7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4431F7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0" w:name="_Toc405274774"/>
      <w:r w:rsidRPr="00A41C4C">
        <w:t>5.3. Wytwarzanie mieszanki mineralno-asfaltowej</w:t>
      </w:r>
      <w:bookmarkEnd w:id="30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1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1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lastRenderedPageBreak/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4431F7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4431F7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4431F7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4431F7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4431F7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4431F7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4431F7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2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 xml:space="preserve">5.5. Połączenie </w:t>
      </w:r>
      <w:proofErr w:type="spellStart"/>
      <w:r w:rsidRPr="00A41C4C">
        <w:t>międzywarstwowe</w:t>
      </w:r>
      <w:bookmarkEnd w:id="32"/>
      <w:proofErr w:type="spellEnd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Każdą ułożoną warstwę należy skropić emulsją asfaltową przed ułożeniem następnej, w celu zapewnienia odpowiedniego połączenia </w:t>
      </w:r>
      <w:proofErr w:type="spellStart"/>
      <w:r w:rsidRPr="00A41C4C">
        <w:rPr>
          <w:rFonts w:ascii="Times New Roman" w:hAnsi="Times New Roman"/>
          <w:sz w:val="20"/>
        </w:rPr>
        <w:t>międzywarstwowego</w:t>
      </w:r>
      <w:proofErr w:type="spellEnd"/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4431F7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4431F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4431F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3" w:name="_Toc405274777"/>
      <w:r w:rsidRPr="00A41C4C">
        <w:t>5.6. Warunki przystąpienia do robót</w:t>
      </w:r>
      <w:bookmarkEnd w:id="3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8"/>
      <w:r w:rsidRPr="00A41C4C">
        <w:lastRenderedPageBreak/>
        <w:t>5.7. Zarób próbny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4431F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4431F7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4431F7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4431F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4431F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4431F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9"/>
      <w:r w:rsidRPr="00A41C4C">
        <w:t>5.8. Odcinek próbny</w:t>
      </w:r>
      <w:bookmarkEnd w:id="35"/>
      <w:r>
        <w:t xml:space="preserve"> 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miejscu wskazanym przez Inżyniera.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6" w:name="_Toc405274780"/>
      <w:r w:rsidRPr="00A41C4C">
        <w:t>5.9. Wykonanie warstwy z betonu  asfaltowego</w:t>
      </w:r>
      <w:bookmarkEnd w:id="3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lastRenderedPageBreak/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6"/>
      <w:bookmarkEnd w:id="27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7" w:name="_Toc405274787"/>
      <w:bookmarkStart w:id="38" w:name="_Toc498489826"/>
      <w:bookmarkStart w:id="39" w:name="_Toc405274782"/>
      <w:r w:rsidRPr="00A41C4C">
        <w:t>6.1. Ogólne zasady kontroli jakości robót</w:t>
      </w:r>
      <w:bookmarkEnd w:id="39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0" w:name="_Toc405274783"/>
      <w:r w:rsidRPr="00A41C4C">
        <w:t>6.2. Badania przed przystąpieniem do robót</w:t>
      </w:r>
      <w:bookmarkEnd w:id="40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4"/>
      <w:r w:rsidRPr="00A41C4C">
        <w:t>6.3. Badania w czasie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4431F7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 xml:space="preserve">procentowa zawartość ziaren o powierzchni </w:t>
      </w:r>
      <w:proofErr w:type="spellStart"/>
      <w:r w:rsidRPr="00A41C4C">
        <w:rPr>
          <w:rFonts w:ascii="Times New Roman" w:hAnsi="Times New Roman"/>
          <w:sz w:val="20"/>
        </w:rPr>
        <w:t>przekruszonej</w:t>
      </w:r>
      <w:proofErr w:type="spellEnd"/>
      <w:r w:rsidRPr="00A41C4C">
        <w:rPr>
          <w:rFonts w:ascii="Times New Roman" w:hAnsi="Times New Roman"/>
          <w:sz w:val="20"/>
        </w:rPr>
        <w:t xml:space="preserve"> i łamanej wg PN-EN 933-5 pkt 4.1.7 (dotyczy kruszywa grubego </w:t>
      </w:r>
      <w:proofErr w:type="spellStart"/>
      <w:r w:rsidRPr="00A41C4C">
        <w:rPr>
          <w:rFonts w:ascii="Times New Roman" w:hAnsi="Times New Roman"/>
          <w:sz w:val="20"/>
        </w:rPr>
        <w:t>przekruszonego</w:t>
      </w:r>
      <w:proofErr w:type="spellEnd"/>
      <w:r w:rsidRPr="00A41C4C">
        <w:rPr>
          <w:rFonts w:ascii="Times New Roman" w:hAnsi="Times New Roman"/>
          <w:sz w:val="20"/>
        </w:rPr>
        <w:t xml:space="preserve">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2" w:name="_Toc405274785"/>
      <w:r w:rsidRPr="00A41C4C">
        <w:t>6.4. Badania dotyczące cech geometrycznych i właściwości warstw nawierzchni z betonu asfaltowego</w:t>
      </w:r>
      <w:bookmarkEnd w:id="42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3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4431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4431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4431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4431F7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4431F7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4431F7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4431F7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Wygląd warstwy z betonu asfaltowego powinien mieć jednolitą teksturę, bez miejsc </w:t>
      </w:r>
      <w:proofErr w:type="spellStart"/>
      <w:r w:rsidRPr="00A41C4C">
        <w:rPr>
          <w:rFonts w:ascii="Times New Roman" w:hAnsi="Times New Roman"/>
          <w:sz w:val="20"/>
        </w:rPr>
        <w:t>przeasfaltowanych</w:t>
      </w:r>
      <w:proofErr w:type="spellEnd"/>
      <w:r w:rsidRPr="00A41C4C">
        <w:rPr>
          <w:rFonts w:ascii="Times New Roman" w:hAnsi="Times New Roman"/>
          <w:sz w:val="20"/>
        </w:rPr>
        <w:t>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 xml:space="preserve">Wartości współczynnika tarcia nawierzchni dotyczą pomiarów z użyciem opony </w:t>
      </w:r>
      <w:proofErr w:type="spellStart"/>
      <w:r w:rsidRPr="00875C77">
        <w:rPr>
          <w:rFonts w:ascii="Times New Roman" w:hAnsi="Times New Roman"/>
          <w:b w:val="0"/>
          <w:szCs w:val="20"/>
        </w:rPr>
        <w:t>bezbieżnikowej</w:t>
      </w:r>
      <w:proofErr w:type="spellEnd"/>
      <w:r w:rsidRPr="00875C77">
        <w:rPr>
          <w:rFonts w:ascii="Times New Roman" w:hAnsi="Times New Roman"/>
          <w:b w:val="0"/>
          <w:szCs w:val="20"/>
        </w:rPr>
        <w:t xml:space="preserve"> rozmiaru 5,60S x 13.</w:t>
      </w:r>
    </w:p>
    <w:p w:rsidR="00632BD0" w:rsidRPr="00D37760" w:rsidRDefault="00632BD0" w:rsidP="00632BD0">
      <w:pPr>
        <w:pStyle w:val="Tekstpodstawowy3"/>
        <w:spacing w:before="120" w:after="120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szCs w:val="20"/>
        </w:rPr>
        <w:t xml:space="preserve">6.4.13. </w:t>
      </w:r>
      <w:r w:rsidRPr="00D37760">
        <w:rPr>
          <w:rFonts w:ascii="Times New Roman" w:hAnsi="Times New Roman"/>
          <w:b w:val="0"/>
          <w:szCs w:val="20"/>
        </w:rPr>
        <w:t>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 xml:space="preserve">W przypadkach budzących wątpliwości niezależnie od badań laboratoryjnych Wykonawcy będzie prowadzona kontrola i badania laboratoryjne przez Zamawiającego w niezależnym laboratorium nie związanym </w:t>
      </w:r>
      <w:r w:rsidRPr="00A91B08">
        <w:rPr>
          <w:sz w:val="20"/>
        </w:rPr>
        <w:br/>
        <w:t>z wykonawstwem robót.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:rsidR="00632BD0" w:rsidRPr="00D37760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b w:val="0"/>
        </w:rPr>
        <w:t>Wykonawca zobowiązany jest do udzielenia Zamawiającemu pomocy przy pobieraniu próbek do badań kontrolnych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7"/>
      <w:bookmarkEnd w:id="38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4" w:name="_Toc405274788"/>
      <w:r>
        <w:t>7.1. Ogólne zasady obmiaru robót</w:t>
      </w:r>
      <w:bookmarkEnd w:id="44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5" w:name="_Toc405274789"/>
      <w:r>
        <w:t>7.2. Jednostka obmiarowa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6" w:name="_Toc405274790"/>
      <w:bookmarkStart w:id="47" w:name="_Toc498489827"/>
      <w:r>
        <w:t>8. ODBIÓR ROBÓT</w:t>
      </w:r>
      <w:bookmarkEnd w:id="46"/>
      <w:bookmarkEnd w:id="47"/>
    </w:p>
    <w:p w:rsidR="00632BD0" w:rsidRPr="00A91B08" w:rsidRDefault="00632BD0" w:rsidP="00632BD0">
      <w:pPr>
        <w:rPr>
          <w:b/>
          <w:sz w:val="20"/>
          <w:szCs w:val="20"/>
        </w:rPr>
      </w:pPr>
      <w:bookmarkStart w:id="48" w:name="_Toc405274791"/>
      <w:bookmarkStart w:id="49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lastRenderedPageBreak/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>dla kategorii ruchu KR3-6 i 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lastRenderedPageBreak/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8"/>
      <w:bookmarkEnd w:id="4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0" w:name="_Toc405274794"/>
      <w:bookmarkStart w:id="51" w:name="_Toc498489829"/>
      <w:bookmarkStart w:id="52" w:name="_Toc405274792"/>
      <w:r w:rsidRPr="00A41C4C">
        <w:t>9.1. Ogólne ustalenia dotyczące podstawy płatności</w:t>
      </w:r>
      <w:bookmarkEnd w:id="5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3" w:name="_Toc405274793"/>
      <w:r w:rsidRPr="00A41C4C">
        <w:t>9.2. Cena jednostki obmiarowej</w:t>
      </w:r>
      <w:bookmarkEnd w:id="5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0"/>
      <w:bookmarkEnd w:id="51"/>
    </w:p>
    <w:p w:rsidR="00632BD0" w:rsidRPr="00A41C4C" w:rsidRDefault="00632BD0" w:rsidP="00632BD0">
      <w:pPr>
        <w:pStyle w:val="Nagwek2"/>
      </w:pPr>
      <w:bookmarkStart w:id="54" w:name="_Toc405274795"/>
      <w:r w:rsidRPr="00A41C4C">
        <w:t>10.1. Normy</w:t>
      </w:r>
      <w:bookmarkEnd w:id="5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4431F7">
        <w:tc>
          <w:tcPr>
            <w:tcW w:w="430" w:type="dxa"/>
          </w:tcPr>
          <w:p w:rsidR="00632BD0" w:rsidRPr="0054797E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4431F7">
        <w:tc>
          <w:tcPr>
            <w:tcW w:w="430" w:type="dxa"/>
          </w:tcPr>
          <w:p w:rsidR="00632BD0" w:rsidRPr="0054797E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4431F7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4431F7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lastRenderedPageBreak/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  <w:bookmarkStart w:id="55" w:name="_GoBack"/>
      <w:bookmarkEnd w:id="55"/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161453"/>
    <w:multiLevelType w:val="singleLevel"/>
    <w:tmpl w:val="5E9E53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7D"/>
    <w:rsid w:val="005E7EE7"/>
    <w:rsid w:val="005F707D"/>
    <w:rsid w:val="0063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">
    <w:name w:val="Body Text 2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BodyTextIndent3">
    <w:name w:val="Body Text Indent 3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">
    <w:name w:val="Body Text 2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BodyTextIndent3">
    <w:name w:val="Body Text Indent 3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7661</Words>
  <Characters>45969</Characters>
  <Application>Microsoft Office Word</Application>
  <DocSecurity>0</DocSecurity>
  <Lines>383</Lines>
  <Paragraphs>107</Paragraphs>
  <ScaleCrop>false</ScaleCrop>
  <Company>Urząd Miejski Radomyśl Wielki</Company>
  <LinksUpToDate>false</LinksUpToDate>
  <CharactersWithSpaces>53523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2</cp:revision>
  <dcterms:created xsi:type="dcterms:W3CDTF">2014-01-16T07:59:00Z</dcterms:created>
  <dcterms:modified xsi:type="dcterms:W3CDTF">2014-01-16T08:03:00Z</dcterms:modified>
</cp:coreProperties>
</file>